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6F890D0E" w:rsidR="00D6147A" w:rsidRDefault="00D25E17" w:rsidP="00D25E17">
      <w:hyperlink r:id="rId6" w:history="1">
        <w:r w:rsidRPr="00BF2D72">
          <w:rPr>
            <w:rStyle w:val="Collegamentoipertestuale"/>
          </w:rPr>
          <w:t>https://www.teleborsa.it/News/2025/02/17/assiom-forex-massimo-mocio-confermato-presidente-per-il-terzo-mandato-7.html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5F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5E77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52FC"/>
    <w:rsid w:val="007B56F2"/>
    <w:rsid w:val="007C335E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C0B4E"/>
    <w:rsid w:val="008C2A1F"/>
    <w:rsid w:val="008C2B62"/>
    <w:rsid w:val="008C3787"/>
    <w:rsid w:val="008C4836"/>
    <w:rsid w:val="008C4D80"/>
    <w:rsid w:val="008C6299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55F72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5C81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F0F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CF36EC"/>
    <w:rsid w:val="00D00096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leborsa.it/News/2025/02/17/assiom-forex-massimo-mocio-confermato-presidente-per-il-terzo-mandato-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2025-02-18T17:07:00Z</dcterms:created>
  <dcterms:modified xsi:type="dcterms:W3CDTF">2025-02-18T17:08:00Z</dcterms:modified>
</cp:coreProperties>
</file>